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ascii="Arial" w:hAnsi="Arial" w:cs="Arial"/>
          <w:b/>
          <w:sz w:val="24"/>
          <w:szCs w:val="24"/>
          <w:lang w:eastAsia="ja-JP"/>
        </w:rPr>
      </w:pPr>
      <w:r>
        <w:rPr>
          <w:rFonts w:ascii="Arial" w:hAnsi="Arial" w:cs="Arial"/>
          <w:b/>
          <w:sz w:val="24"/>
          <w:szCs w:val="24"/>
        </w:rPr>
        <w:t>3GPP TSG RAN meeting #98-e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RP-22</w:t>
      </w:r>
      <w:r>
        <w:rPr>
          <w:rFonts w:hint="eastAsia" w:ascii="Arial" w:hAnsi="Arial" w:cs="Arial"/>
          <w:b/>
          <w:sz w:val="24"/>
          <w:szCs w:val="24"/>
        </w:rPr>
        <w:t>2966</w:t>
      </w:r>
    </w:p>
    <w:p>
      <w:pPr>
        <w:tabs>
          <w:tab w:val="left" w:pos="567"/>
        </w:tabs>
        <w:rPr>
          <w:rFonts w:ascii="Arial" w:hAnsi="Arial" w:cs="Arial"/>
          <w:b/>
          <w:sz w:val="24"/>
        </w:rPr>
      </w:pPr>
      <w:r>
        <w:rPr>
          <w:rFonts w:ascii="Arial" w:hAnsi="Arial" w:cs="Arial"/>
          <w:b/>
          <w:sz w:val="24"/>
        </w:rPr>
        <w:t>Electronic Meeting, December 12-16, 2022</w:t>
      </w:r>
    </w:p>
    <w:p>
      <w:pPr>
        <w:pStyle w:val="3"/>
        <w:jc w:val="center"/>
        <w:rPr>
          <w:u w:val="single"/>
        </w:rPr>
      </w:pPr>
      <w:r>
        <w:rPr>
          <w:u w:val="single"/>
        </w:rPr>
        <w:t>Status Report to TSG</w:t>
      </w:r>
    </w:p>
    <w:p>
      <w:pPr>
        <w:tabs>
          <w:tab w:val="left" w:pos="567"/>
        </w:tabs>
        <w:rPr>
          <w:rFonts w:hint="eastAsia"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color w:val="FF0000"/>
          <w:lang w:eastAsia="ja-JP"/>
        </w:rPr>
        <w:t>9.4.4.</w:t>
      </w:r>
      <w:r>
        <w:rPr>
          <w:rFonts w:hint="eastAsia" w:ascii="Arial" w:hAnsi="Arial" w:eastAsia="宋体" w:cs="Arial"/>
          <w:color w:val="FF0000"/>
          <w:lang w:val="en-US" w:eastAsia="zh-CN"/>
        </w:rPr>
        <w:t>8</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Rel-18 High power UE (power class 2) for a single FR1 NR FDD band in UL of NR inter-band CA/DC combinations with y bands downlink (y=2,3,4,5,6) and x bands uplink (x=1,2)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color w:val="FF0000"/>
                <w:lang w:eastAsia="ja-JP"/>
              </w:rPr>
            </w:pPr>
            <w:r>
              <w:rPr>
                <w:rFonts w:ascii="Arial" w:hAnsi="Arial" w:cs="Arial"/>
              </w:rPr>
              <w:t>Study Item:</w:t>
            </w:r>
            <w:r>
              <w:rPr>
                <w:rFonts w:hint="eastAsia" w:ascii="Arial" w:hAnsi="Arial" w:cs="Arial"/>
                <w:color w:val="FF0000"/>
                <w:lang w:eastAsia="ja-JP"/>
              </w:rPr>
              <w:t xml:space="preserve"> </w:t>
            </w:r>
          </w:p>
          <w:p>
            <w:pPr>
              <w:tabs>
                <w:tab w:val="left" w:pos="567"/>
              </w:tabs>
              <w:spacing w:after="0"/>
              <w:rPr>
                <w:rFonts w:ascii="Arial" w:hAnsi="Arial" w:cs="Arial"/>
              </w:rPr>
            </w:pPr>
            <w:r>
              <w:rPr>
                <w:rFonts w:ascii="Arial" w:hAnsi="Arial" w:cs="Arial"/>
                <w:color w:val="FF0000"/>
                <w:lang w:eastAsia="ja-JP"/>
              </w:rPr>
              <w:t>No</w:t>
            </w:r>
          </w:p>
        </w:tc>
        <w:tc>
          <w:tcPr>
            <w:tcW w:w="1842" w:type="dxa"/>
          </w:tcPr>
          <w:p>
            <w:pPr>
              <w:tabs>
                <w:tab w:val="left" w:pos="567"/>
              </w:tabs>
              <w:spacing w:after="0"/>
              <w:rPr>
                <w:rFonts w:ascii="Arial" w:hAnsi="Arial" w:cs="Arial"/>
                <w:color w:val="FF0000"/>
                <w:lang w:eastAsia="ja-JP"/>
              </w:rPr>
            </w:pPr>
            <w:r>
              <w:rPr>
                <w:rFonts w:ascii="Arial" w:hAnsi="Arial" w:cs="Arial"/>
              </w:rPr>
              <w:t>Core part:</w:t>
            </w:r>
            <w:r>
              <w:rPr>
                <w:rFonts w:ascii="Arial" w:hAnsi="Arial" w:cs="Arial"/>
                <w:color w:val="FF0000"/>
                <w:lang w:eastAsia="ja-JP"/>
              </w:rPr>
              <w:t xml:space="preserve"> </w:t>
            </w:r>
          </w:p>
          <w:p>
            <w:pPr>
              <w:tabs>
                <w:tab w:val="left" w:pos="567"/>
              </w:tabs>
              <w:spacing w:after="0"/>
              <w:rPr>
                <w:rFonts w:ascii="Arial" w:hAnsi="Arial" w:cs="Arial"/>
                <w:color w:val="FF0000"/>
                <w:lang w:eastAsia="ja-JP"/>
              </w:rPr>
            </w:pPr>
            <w:r>
              <w:rPr>
                <w:rFonts w:hint="eastAsia" w:ascii="Arial" w:hAnsi="Arial" w:cs="Arial"/>
                <w:color w:val="FF0000"/>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color w:val="FF0000"/>
                <w:lang w:eastAsia="ja-JP"/>
              </w:rPr>
            </w:pPr>
            <w:r>
              <w:rPr>
                <w:rFonts w:hint="eastAsia" w:ascii="Arial" w:hAnsi="Arial" w:cs="Arial"/>
                <w:color w:val="FF0000"/>
                <w:lang w:eastAsia="ja-JP"/>
              </w:rPr>
              <w:t>Yes</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color w:val="FF0000"/>
                <w:lang w:eastAsia="ja-JP"/>
              </w:rPr>
            </w:pPr>
            <w:r>
              <w:rPr>
                <w:rFonts w:hint="eastAsia" w:ascii="Arial" w:hAnsi="Arial" w:cs="Arial"/>
                <w:color w:val="FF0000"/>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HPUE_FR1_FDD_NR_CADC_R18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hint="eastAsia" w:ascii="Arial" w:hAnsi="Arial" w:cs="Arial"/>
                <w:lang w:eastAsia="ja-JP"/>
              </w:rPr>
              <w:t>970090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hint="default" w:ascii="Arial" w:hAnsi="Arial" w:eastAsia="宋体" w:cs="Arial"/>
                <w:lang w:val="en-US" w:eastAsia="zh-CN"/>
              </w:rPr>
            </w:pPr>
            <w:r>
              <w:rPr>
                <w:rFonts w:hint="eastAsia" w:ascii="Arial" w:hAnsi="Arial" w:eastAsia="宋体" w:cs="Arial"/>
                <w:lang w:val="en-US" w:eastAsia="zh-CN"/>
              </w:rPr>
              <w:t>RP-222626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ascii="Arial" w:hAnsi="Arial" w:cs="Arial"/>
                <w:lang w:eastAsia="ja-JP"/>
              </w:rPr>
              <w:t>N/A</w:t>
            </w:r>
          </w:p>
        </w:tc>
        <w:tc>
          <w:tcPr>
            <w:tcW w:w="1842" w:type="dxa"/>
          </w:tcPr>
          <w:p>
            <w:pPr>
              <w:tabs>
                <w:tab w:val="left" w:pos="567"/>
              </w:tabs>
              <w:spacing w:after="0"/>
              <w:rPr>
                <w:rFonts w:hint="default" w:ascii="Arial" w:hAnsi="Arial" w:eastAsia="宋体" w:cs="Arial"/>
                <w:lang w:val="en-US" w:eastAsia="zh-CN"/>
              </w:rPr>
            </w:pPr>
            <w:r>
              <w:rPr>
                <w:rFonts w:ascii="Arial" w:hAnsi="Arial" w:cs="Arial"/>
                <w:lang w:eastAsia="ja-JP"/>
              </w:rPr>
              <w:t xml:space="preserve">Core part: </w:t>
            </w:r>
            <w:r>
              <w:rPr>
                <w:rFonts w:hint="eastAsia" w:ascii="Arial" w:hAnsi="Arial" w:cs="Arial"/>
                <w:color w:val="FF0000"/>
                <w:kern w:val="2"/>
                <w:sz w:val="21"/>
                <w:szCs w:val="22"/>
                <w:lang w:val="en-US" w:eastAsia="zh-CN"/>
              </w:rPr>
              <w:t>12</w:t>
            </w:r>
            <w:r>
              <w:rPr>
                <w:rFonts w:ascii="Arial" w:hAnsi="Arial" w:cs="Arial"/>
                <w:color w:val="FF0000"/>
                <w:kern w:val="2"/>
                <w:sz w:val="21"/>
                <w:szCs w:val="22"/>
                <w:lang w:val="en-US" w:eastAsia="ja-JP"/>
              </w:rPr>
              <w:t>/</w:t>
            </w:r>
            <w:r>
              <w:rPr>
                <w:rFonts w:hint="eastAsia" w:ascii="Arial" w:hAnsi="Arial" w:cs="Arial"/>
                <w:color w:val="FF0000"/>
                <w:kern w:val="2"/>
                <w:sz w:val="21"/>
                <w:szCs w:val="22"/>
                <w:lang w:val="en-US" w:eastAsia="ja-JP"/>
              </w:rPr>
              <w:t>202</w:t>
            </w:r>
            <w:r>
              <w:rPr>
                <w:rFonts w:hint="eastAsia" w:ascii="Arial" w:hAnsi="Arial" w:eastAsia="宋体" w:cs="Arial"/>
                <w:color w:val="FF0000"/>
                <w:kern w:val="2"/>
                <w:sz w:val="21"/>
                <w:szCs w:val="22"/>
                <w:lang w:val="en-US" w:eastAsia="zh-CN"/>
              </w:rPr>
              <w:t>3</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hint="eastAsia" w:ascii="Arial" w:hAnsi="Arial" w:cs="Arial"/>
                <w:color w:val="FF0000"/>
                <w:kern w:val="2"/>
                <w:sz w:val="21"/>
                <w:szCs w:val="22"/>
                <w:lang w:val="en-US" w:eastAsia="zh-CN"/>
              </w:rPr>
              <w:t>12</w:t>
            </w:r>
            <w:r>
              <w:rPr>
                <w:rFonts w:ascii="Arial" w:hAnsi="Arial" w:cs="Arial"/>
                <w:color w:val="FF0000"/>
                <w:kern w:val="2"/>
                <w:sz w:val="21"/>
                <w:szCs w:val="22"/>
                <w:lang w:val="en-US" w:eastAsia="ja-JP"/>
              </w:rPr>
              <w:t>/</w:t>
            </w:r>
            <w:r>
              <w:rPr>
                <w:rFonts w:hint="eastAsia" w:ascii="Arial" w:hAnsi="Arial" w:cs="Arial"/>
                <w:color w:val="FF0000"/>
                <w:kern w:val="2"/>
                <w:sz w:val="21"/>
                <w:szCs w:val="22"/>
                <w:lang w:val="en-US" w:eastAsia="ja-JP"/>
              </w:rPr>
              <w:t>202</w:t>
            </w:r>
            <w:r>
              <w:rPr>
                <w:rFonts w:hint="eastAsia" w:ascii="Arial" w:hAnsi="Arial" w:eastAsia="宋体" w:cs="Arial"/>
                <w:color w:val="FF0000"/>
                <w:kern w:val="2"/>
                <w:sz w:val="21"/>
                <w:szCs w:val="22"/>
                <w:lang w:val="en-US" w:eastAsia="zh-CN"/>
              </w:rPr>
              <w:t>3</w:t>
            </w:r>
            <w:bookmarkStart w:id="0" w:name="_GoBack"/>
            <w:bookmarkEnd w:id="0"/>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Testing part: 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ascii="Arial" w:hAnsi="Arial" w:cs="Arial"/>
                <w:color w:val="00B050"/>
                <w:kern w:val="2"/>
                <w:sz w:val="21"/>
                <w:szCs w:val="22"/>
                <w:lang w:val="en-US" w:eastAsia="ja-JP"/>
              </w:rPr>
              <w:t>10%</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00B050"/>
                <w:kern w:val="2"/>
                <w:sz w:val="21"/>
                <w:szCs w:val="22"/>
                <w:lang w:val="en-US" w:eastAsia="ja-JP"/>
              </w:rPr>
              <w:t>10%</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Testing part: N/A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vAlign w:val="top"/>
          </w:tcPr>
          <w:p>
            <w:pPr>
              <w:tabs>
                <w:tab w:val="left" w:pos="567"/>
              </w:tabs>
              <w:spacing w:after="0"/>
              <w:rPr>
                <w:rFonts w:ascii="Arial" w:hAnsi="Arial" w:cs="Arial"/>
                <w:color w:val="FF0000"/>
              </w:rPr>
            </w:pPr>
            <w:r>
              <w:rPr>
                <w:rFonts w:hint="eastAsia" w:ascii="Arial" w:hAnsi="Arial" w:cs="Arial" w:eastAsiaTheme="minorEastAsia"/>
                <w:color w:val="FF0000"/>
                <w:lang w:eastAsia="zh-CN"/>
              </w:rPr>
              <w:t>R</w:t>
            </w:r>
            <w:r>
              <w:rPr>
                <w:rFonts w:ascii="Arial" w:hAnsi="Arial" w:cs="Arial" w:eastAsiaTheme="minorEastAsia"/>
                <w:color w:val="FF0000"/>
                <w:lang w:eastAsia="zh-CN"/>
              </w:rPr>
              <w:t>AN4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vAlign w:val="top"/>
          </w:tcPr>
          <w:p>
            <w:pPr>
              <w:tabs>
                <w:tab w:val="left" w:pos="567"/>
              </w:tabs>
              <w:spacing w:after="0"/>
              <w:rPr>
                <w:rFonts w:ascii="Arial" w:hAnsi="Arial" w:cs="Arial"/>
                <w:lang w:eastAsia="ja-JP"/>
              </w:rPr>
            </w:pPr>
            <w:r>
              <w:rPr>
                <w:rFonts w:hint="eastAsia" w:ascii="Arial" w:hAnsi="Arial" w:cs="Arial" w:eastAsiaTheme="minorEastAsia"/>
                <w:lang w:eastAsia="zh-CN"/>
              </w:rPr>
              <w:t>B</w:t>
            </w:r>
            <w:r>
              <w:rPr>
                <w:rFonts w:ascii="Arial" w:hAnsi="Arial" w:cs="Arial" w:eastAsiaTheme="minorEastAsia"/>
                <w:lang w:eastAsia="zh-CN"/>
              </w:rPr>
              <w:t>asaier Jialade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vAlign w:val="top"/>
          </w:tcPr>
          <w:p>
            <w:pPr>
              <w:tabs>
                <w:tab w:val="left" w:pos="567"/>
              </w:tabs>
              <w:spacing w:after="0"/>
              <w:rPr>
                <w:rFonts w:ascii="Arial" w:hAnsi="Arial" w:cs="Arial"/>
                <w:lang w:eastAsia="ja-JP"/>
              </w:rPr>
            </w:pPr>
            <w:r>
              <w:rPr>
                <w:rFonts w:hint="eastAsia" w:ascii="Arial" w:hAnsi="Arial" w:cs="Arial" w:eastAsiaTheme="minorEastAsia"/>
                <w:lang w:eastAsia="zh-CN"/>
              </w:rPr>
              <w:t>C</w:t>
            </w:r>
            <w:r>
              <w:rPr>
                <w:rFonts w:ascii="Arial" w:hAnsi="Arial" w:cs="Arial" w:eastAsiaTheme="minorEastAsia"/>
                <w:lang w:eastAsia="zh-CN"/>
              </w:rPr>
              <w:t>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vAlign w:val="top"/>
          </w:tcPr>
          <w:p>
            <w:pPr>
              <w:tabs>
                <w:tab w:val="left" w:pos="567"/>
              </w:tabs>
              <w:spacing w:after="0"/>
              <w:rPr>
                <w:rFonts w:ascii="Arial" w:hAnsi="Arial" w:cs="Arial"/>
              </w:rPr>
            </w:pPr>
            <w:r>
              <w:rPr>
                <w:rFonts w:hint="eastAsia" w:ascii="Arial" w:hAnsi="Arial" w:cs="Arial" w:eastAsiaTheme="minorEastAsia"/>
                <w:lang w:eastAsia="zh-CN"/>
              </w:rPr>
              <w:t>ba</w:t>
            </w:r>
            <w:r>
              <w:rPr>
                <w:rFonts w:ascii="Arial" w:hAnsi="Arial" w:cs="Arial" w:eastAsiaTheme="minorEastAsia"/>
                <w:lang w:eastAsia="zh-CN"/>
              </w:rPr>
              <w:t>sejld@chinaunicom.cn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color w:val="FF0000"/>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rPr>
          <w:rFonts w:hint="eastAsia" w:eastAsia="宋体"/>
          <w:b/>
          <w:bCs/>
          <w:u w:val="single"/>
          <w:lang w:val="en-US" w:eastAsia="zh-CN"/>
        </w:rPr>
      </w:pPr>
      <w:r>
        <w:rPr>
          <w:rFonts w:hint="eastAsia" w:eastAsia="宋体"/>
          <w:b/>
          <w:bCs/>
          <w:u w:val="single"/>
          <w:lang w:val="en-US" w:eastAsia="zh-CN"/>
        </w:rPr>
        <w:t>RAN4-104bis-e:</w:t>
      </w:r>
    </w:p>
    <w:p>
      <w:pPr>
        <w:rPr>
          <w:rFonts w:hint="eastAsia" w:eastAsia="宋体"/>
          <w:lang w:val="en-US" w:eastAsia="zh-CN"/>
        </w:rPr>
      </w:pPr>
      <w:r>
        <w:rPr>
          <w:rFonts w:hint="eastAsia" w:eastAsia="宋体"/>
          <w:lang w:val="en-US" w:eastAsia="zh-CN"/>
        </w:rPr>
        <w:t>Following agreements were captured in R4-2217121:</w:t>
      </w:r>
    </w:p>
    <w:p>
      <w:pPr>
        <w:numPr>
          <w:ilvl w:val="0"/>
          <w:numId w:val="0"/>
        </w:numPr>
        <w:rPr>
          <w:rFonts w:hint="default" w:eastAsia="宋体" w:cs="Times New Roman"/>
          <w:b/>
          <w:bCs/>
          <w:i/>
          <w:iCs/>
          <w:sz w:val="20"/>
          <w:highlight w:val="none"/>
          <w:u w:val="none"/>
          <w:lang w:val="en-US" w:eastAsia="zh-CN"/>
        </w:rPr>
      </w:pPr>
      <w:r>
        <w:rPr>
          <w:rFonts w:hint="eastAsia" w:eastAsia="宋体"/>
          <w:lang w:val="en-US" w:eastAsia="zh-CN"/>
        </w:rPr>
        <w:t xml:space="preserve">- DL CA_n1-n78 with UL PC2 n1: </w:t>
      </w:r>
      <w:r>
        <w:rPr>
          <w:rFonts w:hint="eastAsia" w:eastAsia="宋体" w:cs="Times New Roman"/>
          <w:i w:val="0"/>
          <w:iCs w:val="0"/>
          <w:sz w:val="20"/>
          <w:highlight w:val="none"/>
          <w:u w:val="none"/>
          <w:lang w:val="en-US" w:eastAsia="zh-CN"/>
        </w:rPr>
        <w:t>Under 1Tx architecture, Same ∆TIB, c and ∆RIB, c values of PC3 CA_n1-n78 can be applied to DL CA_n1-n78 with UL PC2 n1. No specific REFSENS requirements (i.e. MSD) defined for DL CA_n1-n78 with UL PC2 n1.</w:t>
      </w:r>
    </w:p>
    <w:p>
      <w:pPr>
        <w:rPr>
          <w:rFonts w:hint="default" w:eastAsia="宋体"/>
          <w:lang w:val="en-US" w:eastAsia="zh-CN"/>
        </w:rPr>
      </w:pPr>
      <w:r>
        <w:rPr>
          <w:rFonts w:hint="eastAsia" w:eastAsia="宋体"/>
          <w:lang w:val="en-US" w:eastAsia="zh-CN"/>
        </w:rPr>
        <w:t>- DL CA_n3-n78 with UL PC2 n3: Under 1Tx architecture, same ∆TIB, c and ∆RIB, c values of PC3 CA_n3-n78 can be applied to DL CA_n3-n78 with UL PC2 n3. No specific REFSENS requirements (i.e. harmonic mixing MSD) defined for DL CA_n3-n78 with UL PC2 n3.</w:t>
      </w:r>
    </w:p>
    <w:p>
      <w:pPr>
        <w:rPr>
          <w:rFonts w:hint="default" w:eastAsia="宋体"/>
          <w:b/>
          <w:bCs/>
          <w:u w:val="single"/>
          <w:lang w:val="en-US" w:eastAsia="zh-CN"/>
        </w:rPr>
      </w:pPr>
      <w:r>
        <w:rPr>
          <w:rFonts w:hint="eastAsia" w:eastAsia="宋体"/>
          <w:b/>
          <w:bCs/>
          <w:u w:val="single"/>
          <w:lang w:val="en-US" w:eastAsia="zh-CN"/>
        </w:rPr>
        <w:t>RAN4-105:</w:t>
      </w:r>
    </w:p>
    <w:p>
      <w:pPr>
        <w:rPr>
          <w:rFonts w:hint="eastAsia" w:eastAsia="宋体"/>
          <w:lang w:val="en-US" w:eastAsia="zh-CN"/>
        </w:rPr>
      </w:pPr>
      <w:r>
        <w:rPr>
          <w:rFonts w:hint="eastAsia" w:eastAsia="宋体"/>
          <w:lang w:val="en-US" w:eastAsia="zh-CN"/>
        </w:rPr>
        <w:t>Following agreements were made:</w:t>
      </w:r>
    </w:p>
    <w:p>
      <w:pPr>
        <w:rPr>
          <w:rFonts w:hint="default" w:eastAsia="宋体"/>
          <w:lang w:val="en-US" w:eastAsia="zh-CN"/>
        </w:rPr>
      </w:pPr>
      <w:r>
        <w:rPr>
          <w:rFonts w:hint="eastAsia" w:eastAsia="宋体"/>
          <w:lang w:val="en-US" w:eastAsia="zh-CN"/>
        </w:rPr>
        <w:t>- CR documents on High power UE for inter-band CA with power class 2 on single carrier uplink on FDD band were agreed, which captured agreements in RAN4-104bis-e meeting.</w:t>
      </w:r>
    </w:p>
    <w:p>
      <w:pPr>
        <w:rPr>
          <w:rFonts w:hint="default" w:eastAsia="宋体"/>
          <w:lang w:val="en-US" w:eastAsia="zh-CN"/>
        </w:rPr>
      </w:pPr>
    </w:p>
    <w:p>
      <w:pPr>
        <w:pStyle w:val="5"/>
        <w:rPr>
          <w:lang w:eastAsia="ja-JP"/>
        </w:rPr>
      </w:pPr>
      <w:r>
        <w:rPr>
          <w:lang w:eastAsia="ja-JP"/>
        </w:rPr>
        <w:t>2.4.2</w:t>
      </w:r>
      <w:r>
        <w:rPr>
          <w:lang w:eastAsia="ja-JP"/>
        </w:rPr>
        <w:tab/>
      </w:r>
      <w:r>
        <w:rPr>
          <w:lang w:eastAsia="ja-JP"/>
        </w:rPr>
        <w:t>Remaining Open issues</w:t>
      </w:r>
    </w:p>
    <w:p>
      <w:pPr>
        <w:rPr>
          <w:rFonts w:hint="default" w:eastAsia="宋体"/>
          <w:lang w:val="en-US" w:eastAsia="zh-CN"/>
        </w:rPr>
      </w:pPr>
      <w:r>
        <w:rPr>
          <w:rFonts w:hint="eastAsia" w:eastAsia="宋体"/>
          <w:lang w:val="en-US" w:eastAsia="zh-CN"/>
        </w:rPr>
        <w:t>Further analyze remaining RF requirements for the combinations captured in the WID.</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eastAsiaTheme="minorEastAsia"/>
          <w:u w:val="single"/>
          <w:lang w:eastAsia="zh-CN"/>
        </w:rPr>
      </w:pPr>
    </w:p>
    <w:p>
      <w:pPr>
        <w:overflowPunct/>
        <w:autoSpaceDE/>
        <w:autoSpaceDN/>
        <w:snapToGrid w:val="0"/>
        <w:spacing w:after="0"/>
        <w:textAlignment w:val="auto"/>
        <w:rPr>
          <w:rFonts w:ascii="Arial" w:hAnsi="Arial" w:cs="Arial" w:eastAsiaTheme="minorEastAsia"/>
          <w:u w:val="single"/>
          <w:lang w:eastAsia="zh-CN"/>
        </w:rPr>
      </w:pPr>
      <w:r>
        <w:rPr>
          <w:rFonts w:ascii="Arial" w:hAnsi="Arial" w:cs="Arial" w:eastAsiaTheme="minorEastAsia"/>
          <w:u w:val="single"/>
          <w:lang w:eastAsia="zh-CN"/>
        </w:rPr>
        <w:t>RAN4-</w:t>
      </w:r>
      <w:r>
        <w:rPr>
          <w:rFonts w:hint="eastAsia" w:ascii="Arial" w:hAnsi="Arial" w:cs="Arial" w:eastAsiaTheme="minorEastAsia"/>
          <w:u w:val="single"/>
          <w:lang w:val="en-US" w:eastAsia="zh-CN"/>
        </w:rPr>
        <w:t>104</w:t>
      </w:r>
      <w:r>
        <w:rPr>
          <w:rFonts w:ascii="Arial" w:hAnsi="Arial" w:cs="Arial" w:eastAsiaTheme="minorEastAsia"/>
          <w:u w:val="single"/>
          <w:lang w:eastAsia="zh-CN"/>
        </w:rPr>
        <w:t>bis-e</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R4-2215894</w:t>
      </w:r>
      <w:r>
        <w:rPr>
          <w:rFonts w:hint="default" w:eastAsia="宋体"/>
          <w:lang w:val="en-US" w:eastAsia="zh-CN"/>
        </w:rPr>
        <w:tab/>
      </w:r>
      <w:r>
        <w:rPr>
          <w:rFonts w:hint="default" w:eastAsia="宋体"/>
          <w:lang w:val="en-US" w:eastAsia="zh-CN"/>
        </w:rPr>
        <w:t>On CA band combination of DL CA_n1-n78 with UL PC2 n1</w:t>
      </w:r>
      <w:r>
        <w:rPr>
          <w:rFonts w:hint="eastAsia" w:eastAsia="宋体"/>
          <w:lang w:val="en-US" w:eastAsia="zh-CN"/>
        </w:rPr>
        <w:tab/>
      </w:r>
      <w:r>
        <w:rPr>
          <w:rFonts w:hint="eastAsia" w:eastAsia="宋体"/>
          <w:lang w:val="en-US" w:eastAsia="zh-CN"/>
        </w:rPr>
        <w:t>ZTE Corporation,China Unicom</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R4-2215895</w:t>
      </w:r>
      <w:r>
        <w:rPr>
          <w:rFonts w:hint="default" w:eastAsia="宋体"/>
          <w:lang w:val="en-US" w:eastAsia="zh-CN"/>
        </w:rPr>
        <w:tab/>
      </w:r>
      <w:r>
        <w:rPr>
          <w:rFonts w:hint="default" w:eastAsia="宋体"/>
          <w:lang w:val="en-US" w:eastAsia="zh-CN"/>
        </w:rPr>
        <w:t>On CA band combination of DL CA_n3-n78 with UL PC2 n3</w:t>
      </w:r>
      <w:r>
        <w:rPr>
          <w:rFonts w:hint="eastAsia" w:eastAsia="宋体"/>
          <w:lang w:val="en-US" w:eastAsia="zh-CN"/>
        </w:rPr>
        <w:tab/>
      </w:r>
      <w:r>
        <w:rPr>
          <w:rFonts w:hint="eastAsia" w:eastAsia="宋体"/>
          <w:lang w:val="en-US" w:eastAsia="zh-CN"/>
        </w:rPr>
        <w:t>ZTE Corporation,China Unicom</w:t>
      </w:r>
    </w:p>
    <w:p>
      <w:pPr>
        <w:numPr>
          <w:ilvl w:val="0"/>
          <w:numId w:val="5"/>
        </w:numPr>
        <w:overflowPunct/>
        <w:autoSpaceDE/>
        <w:autoSpaceDN/>
        <w:snapToGrid w:val="0"/>
        <w:spacing w:after="0"/>
        <w:textAlignment w:val="auto"/>
        <w:rPr>
          <w:rFonts w:hint="default" w:eastAsia="宋体"/>
          <w:lang w:val="en-US" w:eastAsia="zh-CN"/>
        </w:rPr>
      </w:pPr>
      <w:r>
        <w:rPr>
          <w:rFonts w:hint="default" w:eastAsia="宋体"/>
          <w:lang w:val="en-US" w:eastAsia="zh-CN"/>
        </w:rPr>
        <w:t>R4-2215660</w:t>
      </w:r>
      <w:r>
        <w:rPr>
          <w:rFonts w:hint="default" w:eastAsia="宋体"/>
          <w:lang w:val="en-US" w:eastAsia="zh-CN"/>
        </w:rPr>
        <w:tab/>
      </w:r>
      <w:r>
        <w:rPr>
          <w:rFonts w:hint="default" w:eastAsia="宋体"/>
          <w:lang w:val="en-US" w:eastAsia="zh-CN"/>
        </w:rPr>
        <w:t>MSD analysis for CA_n3-n78 with PC2 n3 UL</w:t>
      </w:r>
      <w:r>
        <w:rPr>
          <w:rFonts w:hint="eastAsia" w:eastAsia="宋体"/>
          <w:lang w:val="en-US" w:eastAsia="zh-CN"/>
        </w:rPr>
        <w:tab/>
      </w:r>
      <w:r>
        <w:rPr>
          <w:rFonts w:hint="eastAsia" w:eastAsia="宋体"/>
          <w:lang w:val="en-US" w:eastAsia="zh-CN"/>
        </w:rPr>
        <w:t>Apple</w:t>
      </w:r>
    </w:p>
    <w:p>
      <w:pPr>
        <w:numPr>
          <w:ilvl w:val="0"/>
          <w:numId w:val="0"/>
        </w:numPr>
        <w:overflowPunct/>
        <w:autoSpaceDE/>
        <w:autoSpaceDN/>
        <w:adjustRightInd w:val="0"/>
        <w:snapToGrid w:val="0"/>
        <w:spacing w:after="0"/>
        <w:textAlignment w:val="auto"/>
        <w:rPr>
          <w:rFonts w:hint="eastAsia" w:eastAsia="宋体"/>
          <w:lang w:val="en-US" w:eastAsia="zh-CN"/>
        </w:rPr>
      </w:pPr>
    </w:p>
    <w:p>
      <w:pPr>
        <w:numPr>
          <w:ilvl w:val="0"/>
          <w:numId w:val="0"/>
        </w:numPr>
        <w:overflowPunct/>
        <w:autoSpaceDE/>
        <w:autoSpaceDN/>
        <w:adjustRightInd w:val="0"/>
        <w:snapToGrid w:val="0"/>
        <w:spacing w:after="0"/>
        <w:textAlignment w:val="auto"/>
        <w:rPr>
          <w:rFonts w:hint="eastAsia" w:eastAsia="宋体"/>
          <w:u w:val="single"/>
          <w:lang w:val="en-US" w:eastAsia="zh-CN"/>
        </w:rPr>
      </w:pPr>
      <w:r>
        <w:rPr>
          <w:rFonts w:hint="eastAsia" w:eastAsia="宋体"/>
          <w:u w:val="single"/>
          <w:lang w:val="en-US" w:eastAsia="zh-CN"/>
        </w:rPr>
        <w:t>RAN4-105</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R4-2218610</w:t>
      </w:r>
      <w:r>
        <w:rPr>
          <w:rFonts w:hint="default" w:eastAsia="宋体"/>
          <w:lang w:val="en-US" w:eastAsia="zh-CN"/>
        </w:rPr>
        <w:tab/>
      </w:r>
      <w:r>
        <w:rPr>
          <w:rFonts w:hint="default" w:eastAsia="宋体"/>
          <w:lang w:val="en-US" w:eastAsia="zh-CN"/>
        </w:rPr>
        <w:t>Revised WID on High power UE for FR1 for inter-band NR_CADC_R18_yBDL_xBUL with power class 2 on single carrier uplink on FDD band</w:t>
      </w:r>
      <w:r>
        <w:rPr>
          <w:rFonts w:hint="eastAsia" w:eastAsia="宋体"/>
          <w:lang w:val="en-US" w:eastAsia="zh-CN"/>
        </w:rPr>
        <w:tab/>
      </w:r>
      <w:r>
        <w:rPr>
          <w:rFonts w:hint="eastAsia" w:eastAsia="宋体"/>
          <w:lang w:val="en-US" w:eastAsia="zh-CN"/>
        </w:rPr>
        <w:t>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R4-2218620</w:t>
      </w:r>
      <w:r>
        <w:rPr>
          <w:rFonts w:hint="default" w:eastAsia="宋体"/>
          <w:lang w:val="en-US" w:eastAsia="zh-CN"/>
        </w:rPr>
        <w:tab/>
      </w:r>
      <w:r>
        <w:rPr>
          <w:rFonts w:hint="default" w:eastAsia="宋体"/>
          <w:lang w:val="en-US" w:eastAsia="zh-CN"/>
        </w:rPr>
        <w:t>BigCR for High power UE for inter-band CA with power class 2 on single carrier uplink on FDD band</w:t>
      </w:r>
      <w:r>
        <w:rPr>
          <w:rFonts w:hint="eastAsia" w:eastAsia="宋体"/>
          <w:lang w:val="en-US" w:eastAsia="zh-CN"/>
        </w:rPr>
        <w:tab/>
      </w:r>
      <w:r>
        <w:rPr>
          <w:rFonts w:hint="eastAsia" w:eastAsia="宋体"/>
          <w:lang w:val="en-US" w:eastAsia="zh-CN"/>
        </w:rPr>
        <w:t>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R4-2218621</w:t>
      </w:r>
      <w:r>
        <w:rPr>
          <w:rFonts w:hint="default" w:eastAsia="宋体"/>
          <w:lang w:val="en-US" w:eastAsia="zh-CN"/>
        </w:rPr>
        <w:tab/>
      </w:r>
      <w:r>
        <w:rPr>
          <w:rFonts w:hint="default" w:eastAsia="宋体"/>
          <w:lang w:val="en-US" w:eastAsia="zh-CN"/>
        </w:rPr>
        <w:t>Draft CR for HPUE for CA with PC2 on FDD carrier CA_n1A-n78A and CA_n3A-n78A</w:t>
      </w:r>
      <w:r>
        <w:rPr>
          <w:rFonts w:hint="eastAsia" w:eastAsia="宋体"/>
          <w:lang w:val="en-US" w:eastAsia="zh-CN"/>
        </w:rPr>
        <w:tab/>
      </w:r>
      <w:r>
        <w:rPr>
          <w:rFonts w:hint="eastAsia" w:eastAsia="宋体"/>
          <w:lang w:val="en-US" w:eastAsia="zh-CN"/>
        </w:rPr>
        <w:t>China Unicom</w:t>
      </w:r>
    </w:p>
    <w:p>
      <w:pPr>
        <w:numPr>
          <w:ilvl w:val="0"/>
          <w:numId w:val="6"/>
        </w:numPr>
        <w:overflowPunct/>
        <w:autoSpaceDE/>
        <w:autoSpaceDN/>
        <w:adjustRightInd w:val="0"/>
        <w:snapToGrid w:val="0"/>
        <w:spacing w:after="0"/>
        <w:textAlignment w:val="auto"/>
        <w:rPr>
          <w:rFonts w:hint="default" w:eastAsia="宋体"/>
          <w:lang w:val="en-US" w:eastAsia="zh-CN"/>
        </w:rPr>
      </w:pPr>
      <w:r>
        <w:rPr>
          <w:rFonts w:hint="default" w:eastAsia="宋体"/>
          <w:lang w:val="en-US" w:eastAsia="zh-CN"/>
        </w:rPr>
        <w:t>R4-2220481</w:t>
      </w:r>
      <w:r>
        <w:rPr>
          <w:rFonts w:hint="default" w:eastAsia="宋体"/>
          <w:lang w:val="en-US" w:eastAsia="zh-CN"/>
        </w:rPr>
        <w:tab/>
      </w:r>
      <w:r>
        <w:rPr>
          <w:rFonts w:hint="default" w:eastAsia="宋体"/>
          <w:lang w:val="en-US" w:eastAsia="zh-CN"/>
        </w:rPr>
        <w:t>Draft CR for HPUE for CA with PC2 on FDD carrier CA_n1A-n78A and CA_n3A-n78A</w:t>
      </w:r>
      <w:r>
        <w:rPr>
          <w:rFonts w:hint="eastAsia" w:eastAsia="宋体"/>
          <w:lang w:val="en-US" w:eastAsia="zh-CN"/>
        </w:rPr>
        <w:tab/>
      </w:r>
      <w:r>
        <w:rPr>
          <w:rFonts w:hint="eastAsia" w:eastAsia="宋体"/>
          <w:lang w:val="en-US" w:eastAsia="zh-CN"/>
        </w:rPr>
        <w:t>China Unicom</w:t>
      </w:r>
    </w:p>
    <w:p>
      <w:pPr>
        <w:overflowPunct/>
        <w:autoSpaceDE/>
        <w:autoSpaceDN/>
        <w:snapToGrid w:val="0"/>
        <w:spacing w:after="0"/>
        <w:textAlignment w:val="auto"/>
        <w:rPr>
          <w:rFonts w:ascii="Arial" w:hAnsi="Arial" w:cs="Arial"/>
          <w:lang w:eastAsia="ja-JP"/>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6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6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6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6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6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6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6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6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39651B"/>
    <w:multiLevelType w:val="singleLevel"/>
    <w:tmpl w:val="D439651B"/>
    <w:lvl w:ilvl="0" w:tentative="0">
      <w:start w:val="1"/>
      <w:numFmt w:val="decimal"/>
      <w:suff w:val="space"/>
      <w:lvlText w:val="[%1]"/>
      <w:lvlJc w:val="left"/>
    </w:lvl>
  </w:abstractNum>
  <w:abstractNum w:abstractNumId="1">
    <w:nsid w:val="01619064"/>
    <w:multiLevelType w:val="singleLevel"/>
    <w:tmpl w:val="01619064"/>
    <w:lvl w:ilvl="0" w:tentative="0">
      <w:start w:val="1"/>
      <w:numFmt w:val="decimal"/>
      <w:suff w:val="space"/>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4"/>
  </w:num>
  <w:num w:numId="3">
    <w:abstractNumId w:val="5"/>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 w:val="021E0353"/>
    <w:rsid w:val="05BA05DB"/>
    <w:rsid w:val="069E763F"/>
    <w:rsid w:val="0916154D"/>
    <w:rsid w:val="0B951388"/>
    <w:rsid w:val="138B7A99"/>
    <w:rsid w:val="184E0CEC"/>
    <w:rsid w:val="19C8453D"/>
    <w:rsid w:val="1D3307B1"/>
    <w:rsid w:val="1F187988"/>
    <w:rsid w:val="217008EA"/>
    <w:rsid w:val="219169A6"/>
    <w:rsid w:val="345656C7"/>
    <w:rsid w:val="36FF0411"/>
    <w:rsid w:val="3BD44B71"/>
    <w:rsid w:val="3D1604B4"/>
    <w:rsid w:val="413024E4"/>
    <w:rsid w:val="429A1687"/>
    <w:rsid w:val="43132405"/>
    <w:rsid w:val="4AAE2312"/>
    <w:rsid w:val="588752C3"/>
    <w:rsid w:val="6A3916D5"/>
    <w:rsid w:val="7030649D"/>
    <w:rsid w:val="7B7B25EB"/>
    <w:rsid w:val="7C11491A"/>
    <w:rsid w:val="7D717D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3</Pages>
  <Words>769</Words>
  <Characters>4384</Characters>
  <Lines>36</Lines>
  <Paragraphs>10</Paragraphs>
  <TotalTime>0</TotalTime>
  <ScaleCrop>false</ScaleCrop>
  <LinksUpToDate>false</LinksUpToDate>
  <CharactersWithSpaces>5143</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China Unicom</cp:lastModifiedBy>
  <dcterms:modified xsi:type="dcterms:W3CDTF">2022-12-05T06:19:11Z</dcterms:modified>
  <dc:title>Status Report to TSG</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2052-11.8.2.11716</vt:lpwstr>
  </property>
  <property fmtid="{D5CDD505-2E9C-101B-9397-08002B2CF9AE}" pid="11" name="ICV">
    <vt:lpwstr>35B305EF93934EA2872E9AB94FC3492B</vt:lpwstr>
  </property>
</Properties>
</file>